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7339B9" w:rsidRDefault="00CE0E38">
      <w:pPr>
        <w:rPr>
          <w:rFonts w:ascii="Calibri" w:hAnsi="Calibri"/>
          <w:sz w:val="48"/>
          <w:szCs w:val="48"/>
        </w:rPr>
      </w:pPr>
      <w:r w:rsidRPr="00CE0E38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Seleccione la instancia que le corresponda y </w:t>
      </w:r>
      <w:proofErr w:type="gramStart"/>
      <w:r w:rsidRPr="007339B9">
        <w:rPr>
          <w:rFonts w:ascii="Calibri" w:hAnsi="Calibri"/>
          <w:sz w:val="48"/>
          <w:szCs w:val="48"/>
        </w:rPr>
        <w:t>cumpliméntela</w:t>
      </w:r>
      <w:proofErr w:type="gramEnd"/>
      <w:r w:rsidRPr="007339B9">
        <w:rPr>
          <w:rFonts w:ascii="Calibri" w:hAnsi="Calibri"/>
          <w:sz w:val="48"/>
          <w:szCs w:val="48"/>
        </w:rPr>
        <w:t xml:space="preserve">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proofErr w:type="spellStart"/>
      <w:r w:rsidRPr="000D5AA4">
        <w:rPr>
          <w:rFonts w:ascii="Calibri" w:hAnsi="Calibri"/>
        </w:rPr>
        <w:t>22</w:t>
      </w:r>
      <w:proofErr w:type="spellEnd"/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CE0E38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 w:rsidRPr="00CE0E38"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F62DF4">
        <w:rPr>
          <w:rFonts w:ascii="Calibri" w:hAnsi="Calibri"/>
          <w:lang w:val="es-ES_tradnl"/>
        </w:rPr>
        <w:t>UNIFORMOLOGÍA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CE0E38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CE0E38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CE0E38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77788C">
        <w:rPr>
          <w:rFonts w:ascii="Calibri" w:hAnsi="Calibri"/>
          <w:lang w:val="es-ES_tradnl"/>
        </w:rPr>
        <w:t xml:space="preserve">CURSO DE </w:t>
      </w:r>
      <w:r w:rsidR="00F62DF4">
        <w:rPr>
          <w:rFonts w:ascii="Calibri" w:hAnsi="Calibri"/>
          <w:lang w:val="es-ES_tradnl"/>
        </w:rPr>
        <w:t>UNIFORMOLOGÍA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CE0E38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bookmarkStart w:id="1" w:name="_GoBack"/>
      <w:bookmarkEnd w:id="1"/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5E43-6391-45F6-86D8-B3F7ED9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2017-08-26T06:50:00Z</dcterms:modified>
</cp:coreProperties>
</file>